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3"/>
        <w:ind w:firstLine="0"/>
        <w:jc w:val="center"/>
        <w:tabs>
          <w:tab w:val="left" w:pos="567" w:leader="none"/>
        </w:tabs>
        <w:rPr>
          <w:sz w:val="28"/>
          <w:szCs w:val="28"/>
        </w:rPr>
      </w:pPr>
      <w:r>
        <w:rPr>
          <w:sz w:val="28"/>
          <w:szCs w:val="24"/>
        </w:rPr>
        <w:t xml:space="preserve">При поступлении на государственную гражданскую службу</w:t>
      </w:r>
      <w:r>
        <w:rPr>
          <w:sz w:val="28"/>
          <w:szCs w:val="24"/>
        </w:rPr>
        <w:t xml:space="preserve"> </w:t>
      </w:r>
      <w:r>
        <w:rPr>
          <w:sz w:val="28"/>
          <w:szCs w:val="24"/>
        </w:rPr>
      </w:r>
      <w:r>
        <w:rPr>
          <w:sz w:val="28"/>
          <w:szCs w:val="28"/>
        </w:rPr>
      </w:r>
    </w:p>
    <w:p>
      <w:pPr>
        <w:pStyle w:val="833"/>
        <w:ind w:firstLine="0"/>
        <w:jc w:val="center"/>
        <w:tabs>
          <w:tab w:val="left" w:pos="567" w:leader="none"/>
        </w:tabs>
        <w:rPr>
          <w:sz w:val="28"/>
          <w:szCs w:val="28"/>
        </w:rPr>
      </w:pPr>
      <w:r>
        <w:rPr>
          <w:sz w:val="28"/>
          <w:szCs w:val="24"/>
        </w:rPr>
        <w:t xml:space="preserve">в Межрегиональное операционное управление Федерального казначейства</w:t>
      </w:r>
      <w:r>
        <w:rPr>
          <w:sz w:val="28"/>
          <w:szCs w:val="24"/>
        </w:rPr>
      </w:r>
      <w:r>
        <w:rPr>
          <w:sz w:val="28"/>
          <w:szCs w:val="28"/>
        </w:rPr>
      </w:r>
    </w:p>
    <w:p>
      <w:pPr>
        <w:pStyle w:val="833"/>
        <w:ind w:firstLine="0"/>
        <w:jc w:val="center"/>
        <w:tabs>
          <w:tab w:val="left" w:pos="567" w:leader="none"/>
        </w:tabs>
        <w:rPr>
          <w:sz w:val="28"/>
          <w:szCs w:val="24"/>
        </w:rPr>
      </w:pPr>
      <w:r>
        <w:rPr>
          <w:sz w:val="28"/>
          <w:szCs w:val="24"/>
        </w:rPr>
        <w:t xml:space="preserve">гражданин представляет:</w:t>
      </w:r>
      <w:r>
        <w:rPr>
          <w:sz w:val="28"/>
          <w:szCs w:val="24"/>
        </w:rPr>
      </w:r>
      <w:r>
        <w:rPr>
          <w:sz w:val="28"/>
          <w:szCs w:val="24"/>
        </w:rPr>
      </w:r>
    </w:p>
    <w:p>
      <w:pPr>
        <w:tabs>
          <w:tab w:val="left" w:pos="567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tabs>
          <w:tab w:val="left" w:pos="567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numPr>
          <w:ilvl w:val="0"/>
          <w:numId w:val="1"/>
        </w:numPr>
        <w:ind w:left="0" w:firstLine="0"/>
        <w:jc w:val="both"/>
        <w:tabs>
          <w:tab w:val="left" w:pos="567" w:leader="none"/>
        </w:tabs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Оригиналы документов </w:t>
      </w:r>
      <w:r>
        <w:rPr>
          <w:sz w:val="24"/>
          <w:szCs w:val="24"/>
          <w:u w:val="single"/>
        </w:rPr>
        <w:t xml:space="preserve">(при отсутствии на руках оригиналов документов - нотариально заверенные копии)</w:t>
      </w:r>
      <w:r>
        <w:rPr>
          <w:b/>
          <w:sz w:val="24"/>
          <w:szCs w:val="24"/>
          <w:u w:val="single"/>
        </w:rPr>
        <w:t xml:space="preserve">:</w:t>
      </w:r>
      <w:r>
        <w:rPr>
          <w:b/>
          <w:sz w:val="24"/>
          <w:szCs w:val="24"/>
          <w:u w:val="single"/>
        </w:rPr>
      </w:r>
      <w:r>
        <w:rPr>
          <w:b/>
          <w:sz w:val="24"/>
          <w:szCs w:val="24"/>
          <w:u w:val="single"/>
        </w:rPr>
      </w:r>
    </w:p>
    <w:p>
      <w:pPr>
        <w:jc w:val="both"/>
        <w:tabs>
          <w:tab w:val="left" w:pos="567" w:leader="none"/>
        </w:tabs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</w:r>
      <w:r>
        <w:rPr>
          <w:b/>
          <w:sz w:val="24"/>
          <w:szCs w:val="24"/>
          <w:u w:val="single"/>
        </w:rPr>
      </w:r>
      <w:r>
        <w:rPr>
          <w:b/>
          <w:sz w:val="24"/>
          <w:szCs w:val="24"/>
          <w:u w:val="single"/>
        </w:rPr>
      </w:r>
    </w:p>
    <w:p>
      <w:pPr>
        <w:numPr>
          <w:ilvl w:val="1"/>
          <w:numId w:val="1"/>
        </w:numPr>
        <w:ind w:left="0" w:firstLine="0"/>
        <w:jc w:val="both"/>
        <w:tabs>
          <w:tab w:val="left" w:pos="567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Паспорт </w:t>
      </w:r>
      <w:r>
        <w:rPr>
          <w:sz w:val="24"/>
          <w:szCs w:val="24"/>
        </w:rPr>
        <w:t xml:space="preserve">гражданина Российской Федерации;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41"/>
        <w:numPr>
          <w:ilvl w:val="1"/>
          <w:numId w:val="1"/>
        </w:numPr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Военный билет (удостоверение гражданина, подлежащего призыву)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для военнообязанных </w:t>
      </w:r>
      <w:r>
        <w:rPr>
          <w:sz w:val="24"/>
          <w:szCs w:val="24"/>
        </w:rPr>
        <w:br/>
      </w:r>
      <w:r>
        <w:rPr>
          <w:sz w:val="24"/>
          <w:szCs w:val="24"/>
        </w:rPr>
        <w:t xml:space="preserve">и лиц подлежащих призыву на военную службу</w:t>
      </w:r>
      <w:r>
        <w:rPr>
          <w:sz w:val="24"/>
          <w:szCs w:val="24"/>
        </w:rPr>
        <w:t xml:space="preserve"> (</w:t>
      </w:r>
      <w:r>
        <w:rPr>
          <w:sz w:val="24"/>
          <w:szCs w:val="24"/>
        </w:rPr>
        <w:t xml:space="preserve">для граждан мужского пола в возрасте от 18 до </w:t>
      </w:r>
      <w:r>
        <w:rPr>
          <w:sz w:val="24"/>
          <w:szCs w:val="24"/>
        </w:rPr>
        <w:t xml:space="preserve">30</w:t>
      </w:r>
      <w:r>
        <w:rPr>
          <w:sz w:val="24"/>
          <w:szCs w:val="24"/>
        </w:rPr>
        <w:t xml:space="preserve"> лет, подлежащих воинскому учету в военн</w:t>
      </w:r>
      <w:r>
        <w:rPr>
          <w:sz w:val="24"/>
          <w:szCs w:val="24"/>
        </w:rPr>
        <w:t xml:space="preserve">ых комиссариатах и организациях, обязанностью которых, является представить документы о постановке на воинский учет в том числе и по месту пребывания не подтвержденному  регистрацией по месту жительства и (или) месту пребывания на срок более шести месяцев)</w:t>
      </w:r>
      <w:r>
        <w:rPr>
          <w:sz w:val="24"/>
          <w:szCs w:val="24"/>
        </w:rPr>
        <w:t xml:space="preserve">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numPr>
          <w:ilvl w:val="1"/>
          <w:numId w:val="1"/>
        </w:numPr>
        <w:ind w:left="0" w:firstLine="0"/>
        <w:jc w:val="both"/>
        <w:tabs>
          <w:tab w:val="left" w:pos="567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Трудовая книжка (</w:t>
      </w:r>
      <w:r>
        <w:rPr>
          <w:sz w:val="24"/>
          <w:szCs w:val="24"/>
        </w:rPr>
        <w:t xml:space="preserve">за исключением случаев, когда служебная (трудовая) деятельность осуществляется впервые); </w:t>
      </w:r>
      <w:r>
        <w:rPr>
          <w:sz w:val="24"/>
          <w:szCs w:val="24"/>
        </w:rPr>
        <w:t xml:space="preserve">если трудовая книжка находится у текущего работодателя, </w:t>
      </w:r>
      <w:r>
        <w:rPr>
          <w:sz w:val="24"/>
          <w:szCs w:val="24"/>
        </w:rPr>
        <w:br/>
      </w:r>
      <w:r>
        <w:rPr>
          <w:sz w:val="24"/>
          <w:szCs w:val="24"/>
        </w:rPr>
        <w:t xml:space="preserve">то необходимо предоставить копию трудовой книжки, заверенную отделом кадров текущего работодателя</w:t>
      </w:r>
      <w:r>
        <w:rPr>
          <w:sz w:val="24"/>
          <w:szCs w:val="24"/>
        </w:rPr>
        <w:t xml:space="preserve">; иные документы, подтверждающие трудовую (служебную) деятельность</w:t>
      </w:r>
      <w:r>
        <w:rPr>
          <w:sz w:val="24"/>
          <w:szCs w:val="24"/>
        </w:rPr>
        <w:t xml:space="preserve">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numPr>
          <w:ilvl w:val="1"/>
          <w:numId w:val="1"/>
        </w:numPr>
        <w:ind w:left="0" w:firstLine="0"/>
        <w:jc w:val="both"/>
        <w:tabs>
          <w:tab w:val="left" w:pos="567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Диплом о среднем профессиональном образовании с приложением (оценочный лист);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numPr>
          <w:ilvl w:val="1"/>
          <w:numId w:val="1"/>
        </w:numPr>
        <w:ind w:left="0" w:firstLine="0"/>
        <w:jc w:val="both"/>
        <w:tabs>
          <w:tab w:val="left" w:pos="567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Диплом о высшем образовании с приложением (оценочный лист);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numPr>
          <w:ilvl w:val="1"/>
          <w:numId w:val="1"/>
        </w:numPr>
        <w:ind w:left="0" w:firstLine="0"/>
        <w:jc w:val="both"/>
        <w:tabs>
          <w:tab w:val="left" w:pos="567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Диплом о профессиональной переподготовке с приложением (оценочный лист);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numPr>
          <w:ilvl w:val="1"/>
          <w:numId w:val="1"/>
        </w:numPr>
        <w:ind w:left="0" w:firstLine="0"/>
        <w:jc w:val="both"/>
        <w:tabs>
          <w:tab w:val="left" w:pos="567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Полис обязательного медицинского страхования;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numPr>
          <w:ilvl w:val="1"/>
          <w:numId w:val="1"/>
        </w:numPr>
        <w:ind w:left="0" w:firstLine="0"/>
        <w:jc w:val="both"/>
        <w:tabs>
          <w:tab w:val="left" w:pos="567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Свидетельство о постановке на учет физического лица в налоговом органе (ИНН);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numPr>
          <w:ilvl w:val="1"/>
          <w:numId w:val="1"/>
        </w:numPr>
        <w:ind w:left="0" w:firstLine="0"/>
        <w:jc w:val="both"/>
        <w:tabs>
          <w:tab w:val="left" w:pos="567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Страховое свидетельство обязательного пенсионного страхования (СНИЛС)</w:t>
      </w:r>
      <w:r>
        <w:rPr>
          <w:sz w:val="24"/>
          <w:szCs w:val="24"/>
        </w:rPr>
        <w:t xml:space="preserve">, либо документ, подтверждающий, что гражданин зарегистрирован в системе индивидуального персонифицированного учета</w:t>
      </w:r>
      <w:r>
        <w:rPr>
          <w:sz w:val="24"/>
          <w:szCs w:val="24"/>
        </w:rPr>
        <w:t xml:space="preserve">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numPr>
          <w:ilvl w:val="1"/>
          <w:numId w:val="1"/>
        </w:numPr>
        <w:ind w:left="0" w:firstLine="0"/>
        <w:jc w:val="both"/>
        <w:tabs>
          <w:tab w:val="left" w:pos="567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Свидетельство о заключении (расторжении) брака;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numPr>
          <w:ilvl w:val="1"/>
          <w:numId w:val="1"/>
        </w:numPr>
        <w:ind w:left="0" w:firstLine="0"/>
        <w:jc w:val="both"/>
        <w:tabs>
          <w:tab w:val="left" w:pos="567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Свидетельство о рождении детей (если детям не исполнилось 18 лет);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numPr>
          <w:ilvl w:val="1"/>
          <w:numId w:val="1"/>
        </w:numPr>
        <w:ind w:left="0" w:firstLine="0"/>
        <w:jc w:val="both"/>
        <w:tabs>
          <w:tab w:val="left" w:pos="567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Свидетельство о перемене имени (в случае изменения имени/ фамилии/ отчества по причине не связанной с заключением брака);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numPr>
          <w:ilvl w:val="1"/>
          <w:numId w:val="1"/>
        </w:numPr>
        <w:ind w:left="0" w:firstLine="0"/>
        <w:jc w:val="both"/>
        <w:tabs>
          <w:tab w:val="left" w:pos="567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Личная фотография (формат 3х4 (</w:t>
      </w:r>
      <w:r>
        <w:rPr>
          <w:sz w:val="24"/>
          <w:szCs w:val="24"/>
        </w:rPr>
        <w:t xml:space="preserve">6</w:t>
      </w:r>
      <w:r>
        <w:rPr>
          <w:sz w:val="24"/>
          <w:szCs w:val="24"/>
        </w:rPr>
        <w:t xml:space="preserve"> шт.), </w:t>
      </w:r>
      <w:r>
        <w:rPr>
          <w:bCs/>
          <w:sz w:val="24"/>
          <w:szCs w:val="24"/>
        </w:rPr>
        <w:t xml:space="preserve">4х6</w:t>
      </w:r>
      <w:r>
        <w:rPr>
          <w:sz w:val="24"/>
          <w:szCs w:val="24"/>
        </w:rPr>
        <w:t xml:space="preserve"> (</w:t>
      </w:r>
      <w:r>
        <w:rPr>
          <w:sz w:val="24"/>
          <w:szCs w:val="24"/>
        </w:rPr>
        <w:t xml:space="preserve">6</w:t>
      </w:r>
      <w:r>
        <w:rPr>
          <w:sz w:val="24"/>
          <w:szCs w:val="24"/>
        </w:rPr>
        <w:t xml:space="preserve"> шт.), цветная/черно-белая, матовая бумага, 70% лица), </w:t>
      </w:r>
      <w:r>
        <w:rPr>
          <w:sz w:val="24"/>
          <w:szCs w:val="24"/>
        </w:rPr>
        <w:t xml:space="preserve">цифровая фотография (требования к цифровой фотографии установлены постановлением Правительства Российской Федерации от 04.07.2025 № 1012)</w:t>
      </w:r>
      <w:r>
        <w:rPr>
          <w:sz w:val="24"/>
          <w:szCs w:val="24"/>
        </w:rPr>
        <w:t xml:space="preserve">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numPr>
          <w:ilvl w:val="1"/>
          <w:numId w:val="1"/>
        </w:numPr>
        <w:ind w:left="0" w:firstLine="0"/>
        <w:jc w:val="both"/>
        <w:tabs>
          <w:tab w:val="left" w:pos="567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Документы о присвоении ученой степени, ученого звания;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numPr>
          <w:ilvl w:val="1"/>
          <w:numId w:val="1"/>
        </w:numPr>
        <w:ind w:left="0" w:firstLine="0"/>
        <w:jc w:val="both"/>
        <w:tabs>
          <w:tab w:val="left" w:pos="567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Документы о награждении государственными наградами и почетными званиями;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numPr>
          <w:ilvl w:val="1"/>
          <w:numId w:val="1"/>
        </w:numPr>
        <w:ind w:left="0" w:firstLine="0"/>
        <w:jc w:val="both"/>
        <w:tabs>
          <w:tab w:val="left" w:pos="567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Документы (удостоверения), подтверждающие права ветеранов (боевых действий, военной службы, труда и др.), участников ликвидации последствий катастрофы на Чернобыльской АЭС </w:t>
      </w:r>
      <w:r>
        <w:rPr>
          <w:sz w:val="24"/>
          <w:szCs w:val="24"/>
        </w:rPr>
        <w:br/>
      </w:r>
      <w:r>
        <w:rPr>
          <w:sz w:val="24"/>
          <w:szCs w:val="24"/>
        </w:rPr>
        <w:t xml:space="preserve">и др.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tabs>
          <w:tab w:val="left" w:pos="567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numPr>
          <w:ilvl w:val="0"/>
          <w:numId w:val="1"/>
        </w:numPr>
        <w:ind w:left="0" w:firstLine="0"/>
        <w:jc w:val="both"/>
        <w:tabs>
          <w:tab w:val="left" w:pos="567" w:leader="none"/>
        </w:tabs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Документы, </w:t>
      </w:r>
      <w:r>
        <w:rPr>
          <w:b/>
          <w:sz w:val="24"/>
          <w:szCs w:val="24"/>
          <w:u w:val="single"/>
        </w:rPr>
        <w:t xml:space="preserve">которые необходимо получить </w:t>
      </w:r>
      <w:r>
        <w:rPr>
          <w:b/>
          <w:sz w:val="24"/>
          <w:szCs w:val="24"/>
          <w:u w:val="single"/>
        </w:rPr>
        <w:t xml:space="preserve">в иных организациях:</w:t>
      </w:r>
      <w:r>
        <w:rPr>
          <w:b/>
          <w:sz w:val="24"/>
          <w:szCs w:val="24"/>
          <w:u w:val="single"/>
        </w:rPr>
      </w:r>
      <w:r>
        <w:rPr>
          <w:b/>
          <w:sz w:val="24"/>
          <w:szCs w:val="24"/>
          <w:u w:val="single"/>
        </w:rPr>
      </w:r>
    </w:p>
    <w:p>
      <w:pPr>
        <w:jc w:val="both"/>
        <w:tabs>
          <w:tab w:val="left" w:pos="567" w:leader="none"/>
        </w:tabs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</w:r>
      <w:r>
        <w:rPr>
          <w:b/>
          <w:sz w:val="24"/>
          <w:szCs w:val="24"/>
          <w:u w:val="single"/>
        </w:rPr>
      </w:r>
      <w:r>
        <w:rPr>
          <w:b/>
          <w:sz w:val="24"/>
          <w:szCs w:val="24"/>
          <w:u w:val="single"/>
        </w:rPr>
      </w:r>
    </w:p>
    <w:p>
      <w:pPr>
        <w:numPr>
          <w:ilvl w:val="1"/>
          <w:numId w:val="1"/>
        </w:numPr>
        <w:ind w:left="0" w:firstLine="0"/>
        <w:jc w:val="both"/>
        <w:tabs>
          <w:tab w:val="left" w:pos="567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Заключение медицинского учрежде</w:t>
      </w:r>
      <w:r>
        <w:rPr>
          <w:sz w:val="24"/>
          <w:szCs w:val="24"/>
        </w:rPr>
        <w:t xml:space="preserve">ния о наличии (отсутствии) заболевания, препятствующего поступлению на государственную гражданскую службу Российской Федерации и муниципальную службу или ее прохождению (учетная форма № 001-ГС/у, утвержденная приказом Минздрава России от 14.12.2009 № 984н)</w:t>
      </w:r>
      <w:r>
        <w:rPr>
          <w:sz w:val="24"/>
          <w:szCs w:val="24"/>
          <w:vertAlign w:val="superscript"/>
        </w:rPr>
        <w:t xml:space="preserve">1</w:t>
      </w:r>
      <w:r>
        <w:rPr>
          <w:sz w:val="24"/>
          <w:szCs w:val="24"/>
          <w:vertAlign w:val="superscript"/>
        </w:rPr>
        <w:t xml:space="preserve">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numPr>
          <w:ilvl w:val="1"/>
          <w:numId w:val="1"/>
        </w:numPr>
        <w:ind w:left="0" w:firstLine="0"/>
        <w:jc w:val="both"/>
        <w:tabs>
          <w:tab w:val="left" w:pos="567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Справка об отсутствии медицинских противопоказаний для работы с использованием сведений, составляющих государственную тайну (учетная форма, согласно приложению № 3 </w:t>
      </w:r>
      <w:r>
        <w:rPr>
          <w:sz w:val="24"/>
          <w:szCs w:val="24"/>
        </w:rPr>
        <w:br/>
        <w:t xml:space="preserve">к приказу Министерства здравоохранения и социального развития Российской Федерации </w:t>
      </w:r>
      <w:r>
        <w:rPr>
          <w:sz w:val="24"/>
          <w:szCs w:val="24"/>
        </w:rPr>
        <w:br/>
        <w:t xml:space="preserve">от 26.08.2011 № 989н)</w:t>
      </w:r>
      <w:r>
        <w:rPr>
          <w:sz w:val="24"/>
          <w:szCs w:val="24"/>
          <w:vertAlign w:val="superscript"/>
        </w:rPr>
        <w:t xml:space="preserve">2</w:t>
      </w:r>
      <w:r>
        <w:rPr>
          <w:sz w:val="24"/>
          <w:szCs w:val="24"/>
        </w:rPr>
        <w:t xml:space="preserve">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numPr>
          <w:ilvl w:val="1"/>
          <w:numId w:val="1"/>
        </w:numPr>
        <w:ind w:left="0" w:firstLine="0"/>
        <w:jc w:val="both"/>
        <w:tabs>
          <w:tab w:val="left" w:pos="567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Справка о доходах и суммах налога</w:t>
      </w:r>
      <w:r>
        <w:rPr>
          <w:sz w:val="24"/>
          <w:szCs w:val="24"/>
        </w:rPr>
        <w:t xml:space="preserve"> физического лица </w:t>
      </w:r>
      <w:r>
        <w:rPr>
          <w:sz w:val="24"/>
          <w:szCs w:val="24"/>
        </w:rPr>
        <w:t xml:space="preserve">с предыдущего места работы (за прошлый год и текущий) (если в течение года гражданин работал у нескольких работодателей, то справки должны быть от каждого работодателя отдельно);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numPr>
          <w:ilvl w:val="1"/>
          <w:numId w:val="1"/>
        </w:numPr>
        <w:ind w:left="0" w:firstLine="0"/>
        <w:jc w:val="both"/>
        <w:tabs>
          <w:tab w:val="left" w:pos="567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Справка из </w:t>
      </w:r>
      <w:r>
        <w:rPr>
          <w:sz w:val="24"/>
          <w:szCs w:val="24"/>
        </w:rPr>
        <w:t xml:space="preserve">у</w:t>
      </w:r>
      <w:r>
        <w:rPr>
          <w:sz w:val="24"/>
          <w:szCs w:val="24"/>
        </w:rPr>
        <w:t xml:space="preserve">чебного заведения о подтверждении, что гражданин является студентом (справка должна содержать наименование учебного заведения, название факультета и курса, дата </w:t>
      </w:r>
      <w:r>
        <w:rPr>
          <w:sz w:val="24"/>
          <w:szCs w:val="24"/>
        </w:rPr>
        <w:t xml:space="preserve">выдачи </w:t>
      </w:r>
      <w:r>
        <w:rPr>
          <w:sz w:val="24"/>
          <w:szCs w:val="24"/>
        </w:rPr>
        <w:t xml:space="preserve">справ</w:t>
      </w:r>
      <w:r>
        <w:rPr>
          <w:sz w:val="24"/>
          <w:szCs w:val="24"/>
        </w:rPr>
        <w:t xml:space="preserve">ки должна быть текущего месяца).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tabs>
          <w:tab w:val="left" w:pos="567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numPr>
          <w:ilvl w:val="0"/>
          <w:numId w:val="1"/>
        </w:numPr>
        <w:ind w:left="0" w:firstLine="0"/>
        <w:jc w:val="both"/>
        <w:tabs>
          <w:tab w:val="left" w:pos="567" w:leader="none"/>
        </w:tabs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Документы</w:t>
      </w:r>
      <w:r>
        <w:rPr>
          <w:b/>
          <w:sz w:val="24"/>
          <w:szCs w:val="24"/>
          <w:u w:val="single"/>
        </w:rPr>
        <w:t xml:space="preserve">,</w:t>
      </w:r>
      <w:r>
        <w:rPr>
          <w:b/>
          <w:sz w:val="24"/>
          <w:szCs w:val="24"/>
          <w:u w:val="single"/>
        </w:rPr>
        <w:t xml:space="preserve"> лично заполненные и заранее направленные на проверку по электронной почте в Отдел государственной гражданской службы и кадров:</w:t>
      </w:r>
      <w:r>
        <w:rPr>
          <w:b/>
          <w:sz w:val="24"/>
          <w:szCs w:val="24"/>
          <w:u w:val="single"/>
        </w:rPr>
      </w:r>
      <w:r>
        <w:rPr>
          <w:b/>
          <w:sz w:val="24"/>
          <w:szCs w:val="24"/>
          <w:u w:val="single"/>
        </w:rPr>
      </w:r>
    </w:p>
    <w:p>
      <w:pPr>
        <w:jc w:val="both"/>
        <w:tabs>
          <w:tab w:val="left" w:pos="567" w:leader="none"/>
        </w:tabs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</w:r>
      <w:r>
        <w:rPr>
          <w:b/>
          <w:sz w:val="24"/>
          <w:szCs w:val="24"/>
          <w:u w:val="single"/>
        </w:rPr>
      </w:r>
      <w:r>
        <w:rPr>
          <w:b/>
          <w:sz w:val="24"/>
          <w:szCs w:val="24"/>
          <w:u w:val="single"/>
        </w:rPr>
      </w:r>
    </w:p>
    <w:p>
      <w:pPr>
        <w:numPr>
          <w:ilvl w:val="1"/>
          <w:numId w:val="1"/>
        </w:numPr>
        <w:ind w:left="0" w:firstLine="0"/>
        <w:jc w:val="both"/>
        <w:tabs>
          <w:tab w:val="left" w:pos="567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Анкета для поступления на государственную службу Российской Федерации и муниципальную службу в Российской Федерации по форме, утвержденной Указом Президента Российской Федерации от 10.10.2024 № 870</w:t>
      </w:r>
      <w:r>
        <w:rPr>
          <w:sz w:val="24"/>
          <w:szCs w:val="24"/>
          <w:vertAlign w:val="superscript"/>
        </w:rPr>
        <w:t xml:space="preserve">3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заполненная посредством специального программного обеспечения «Анкета ГС (МС)», размещенная на официальном сайте федеральной государственной информационной системы в области государственной службы в информационно-телекоммуникационной сети «Интернет» в сво</w:t>
      </w:r>
      <w:r>
        <w:rPr>
          <w:sz w:val="24"/>
          <w:szCs w:val="24"/>
        </w:rPr>
        <w:t xml:space="preserve">бодном доступе</w:t>
      </w:r>
      <w:r>
        <w:rPr>
          <w:sz w:val="24"/>
          <w:szCs w:val="24"/>
        </w:rPr>
        <w:t xml:space="preserve">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numPr>
          <w:ilvl w:val="1"/>
          <w:numId w:val="1"/>
        </w:numPr>
        <w:ind w:left="0" w:firstLine="0"/>
        <w:jc w:val="both"/>
        <w:tabs>
          <w:tab w:val="left" w:pos="567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Форма представления сведений </w:t>
      </w:r>
      <w:r>
        <w:rPr>
          <w:rFonts w:eastAsia="Calibri"/>
          <w:bCs/>
          <w:sz w:val="24"/>
          <w:szCs w:val="24"/>
          <w:lang w:eastAsia="en-US"/>
        </w:rPr>
        <w:t xml:space="preserve">об адресах сайтов и (или) страниц сайтов </w:t>
      </w:r>
      <w:r>
        <w:rPr>
          <w:rFonts w:eastAsia="Calibri"/>
          <w:bCs/>
          <w:sz w:val="24"/>
          <w:szCs w:val="24"/>
          <w:lang w:eastAsia="en-US"/>
        </w:rPr>
        <w:br/>
        <w:t xml:space="preserve">в информационно-телекоммуникационной сети «Интернет», на котор</w:t>
      </w:r>
      <w:r>
        <w:rPr>
          <w:rFonts w:eastAsia="Calibri"/>
          <w:bCs/>
          <w:sz w:val="24"/>
          <w:szCs w:val="24"/>
          <w:lang w:eastAsia="en-US"/>
        </w:rPr>
        <w:t xml:space="preserve">ых гражданин, претендующий на замещение должности гражданской службы, гражданский служащий размещали общедоступную информацию, а также данные, позволяющие их идентифицировать (форма утверждена распоряжением Правительства Российской Федерации от 28.12.2016 </w:t>
      </w:r>
      <w:r>
        <w:rPr>
          <w:rFonts w:eastAsia="Calibri"/>
          <w:bCs/>
          <w:sz w:val="24"/>
          <w:szCs w:val="24"/>
          <w:lang w:eastAsia="en-US"/>
        </w:rPr>
        <w:br/>
        <w:t xml:space="preserve">№ 2867-р)</w:t>
      </w:r>
      <w:r>
        <w:rPr>
          <w:rFonts w:eastAsia="Calibri"/>
          <w:bCs/>
          <w:sz w:val="24"/>
          <w:szCs w:val="24"/>
          <w:vertAlign w:val="superscript"/>
          <w:lang w:eastAsia="en-US"/>
        </w:rPr>
        <w:t xml:space="preserve">4</w:t>
      </w:r>
      <w:r>
        <w:rPr>
          <w:rFonts w:eastAsia="Calibri"/>
          <w:bCs/>
          <w:sz w:val="24"/>
          <w:szCs w:val="24"/>
          <w:lang w:eastAsia="en-US"/>
        </w:rPr>
        <w:t xml:space="preserve">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numPr>
          <w:ilvl w:val="1"/>
          <w:numId w:val="1"/>
        </w:numPr>
        <w:ind w:left="0" w:firstLine="0"/>
        <w:jc w:val="both"/>
        <w:tabs>
          <w:tab w:val="left" w:pos="567" w:leader="none"/>
        </w:tabs>
        <w:rPr>
          <w:sz w:val="22"/>
          <w:szCs w:val="24"/>
        </w:rPr>
      </w:pPr>
      <w:r>
        <w:rPr>
          <w:sz w:val="24"/>
          <w:szCs w:val="24"/>
        </w:rPr>
        <w:t xml:space="preserve">Справка о доходах, о расходах, об имуществе и обязательствах имущественного характера гражданина, претендующего на замещение должности федеральной государственной службы, </w:t>
      </w:r>
      <w:r>
        <w:rPr>
          <w:sz w:val="24"/>
          <w:szCs w:val="24"/>
        </w:rPr>
        <w:br/>
        <w:t xml:space="preserve">а так же справка о доходах, о расходах, об имуществе и обязательствах имущественного характера на супруга(у) и несовершеннолетних детей </w:t>
      </w:r>
      <w:r>
        <w:rPr>
          <w:rFonts w:eastAsia="Calibri"/>
          <w:bCs/>
          <w:sz w:val="24"/>
          <w:szCs w:val="24"/>
          <w:lang w:eastAsia="en-US"/>
        </w:rPr>
        <w:t xml:space="preserve">(форма утверждена Указом Президента Российской Федерации от 23.06.2014 № 460)</w:t>
      </w:r>
      <w:r>
        <w:rPr>
          <w:rFonts w:eastAsia="Calibri"/>
          <w:bCs/>
          <w:sz w:val="24"/>
          <w:szCs w:val="24"/>
          <w:vertAlign w:val="superscript"/>
          <w:lang w:eastAsia="en-US"/>
        </w:rPr>
        <w:t xml:space="preserve">5</w:t>
      </w:r>
      <w:r>
        <w:rPr>
          <w:sz w:val="24"/>
          <w:szCs w:val="24"/>
        </w:rPr>
        <w:t xml:space="preserve">;</w:t>
      </w:r>
      <w:r>
        <w:rPr>
          <w:sz w:val="22"/>
          <w:szCs w:val="24"/>
        </w:rPr>
      </w:r>
      <w:r>
        <w:rPr>
          <w:sz w:val="22"/>
          <w:szCs w:val="24"/>
        </w:rPr>
      </w:r>
    </w:p>
    <w:p>
      <w:pPr>
        <w:numPr>
          <w:ilvl w:val="1"/>
          <w:numId w:val="1"/>
        </w:numPr>
        <w:ind w:left="0" w:firstLine="0"/>
        <w:jc w:val="both"/>
        <w:tabs>
          <w:tab w:val="left" w:pos="567" w:leader="none"/>
        </w:tabs>
        <w:rPr>
          <w:sz w:val="24"/>
          <w:szCs w:val="28"/>
        </w:rPr>
      </w:pPr>
      <w:r>
        <w:rPr>
          <w:sz w:val="24"/>
          <w:szCs w:val="28"/>
        </w:rPr>
        <w:t xml:space="preserve">Анкета по форме 4 (</w:t>
      </w:r>
      <w:r>
        <w:rPr>
          <w:rFonts w:eastAsia="Calibri"/>
          <w:bCs/>
          <w:sz w:val="24"/>
          <w:szCs w:val="24"/>
          <w:lang w:eastAsia="en-US"/>
        </w:rPr>
        <w:t xml:space="preserve">форма утверждена постановлением Правительства Российской Федерации от 0</w:t>
      </w:r>
      <w:r>
        <w:rPr>
          <w:rFonts w:eastAsia="Calibri"/>
          <w:bCs/>
          <w:sz w:val="24"/>
          <w:szCs w:val="24"/>
          <w:lang w:eastAsia="en-US"/>
        </w:rPr>
        <w:t xml:space="preserve">7</w:t>
      </w:r>
      <w:r>
        <w:rPr>
          <w:rFonts w:eastAsia="Calibri"/>
          <w:bCs/>
          <w:sz w:val="24"/>
          <w:szCs w:val="24"/>
          <w:lang w:eastAsia="en-US"/>
        </w:rPr>
        <w:t xml:space="preserve">.02.20</w:t>
      </w:r>
      <w:r>
        <w:rPr>
          <w:rFonts w:eastAsia="Calibri"/>
          <w:bCs/>
          <w:sz w:val="24"/>
          <w:szCs w:val="24"/>
          <w:lang w:eastAsia="en-US"/>
        </w:rPr>
        <w:t xml:space="preserve">24</w:t>
      </w:r>
      <w:r>
        <w:rPr>
          <w:rFonts w:eastAsia="Calibri"/>
          <w:bCs/>
          <w:sz w:val="24"/>
          <w:szCs w:val="24"/>
          <w:lang w:eastAsia="en-US"/>
        </w:rPr>
        <w:t xml:space="preserve"> № </w:t>
      </w:r>
      <w:r>
        <w:rPr>
          <w:rFonts w:eastAsia="Calibri"/>
          <w:bCs/>
          <w:sz w:val="24"/>
          <w:szCs w:val="24"/>
          <w:lang w:eastAsia="en-US"/>
        </w:rPr>
        <w:t xml:space="preserve">132</w:t>
      </w:r>
      <w:r>
        <w:rPr>
          <w:rFonts w:eastAsia="Calibri"/>
          <w:bCs/>
          <w:sz w:val="24"/>
          <w:szCs w:val="24"/>
          <w:lang w:eastAsia="en-US"/>
        </w:rPr>
        <w:t xml:space="preserve">)</w:t>
      </w:r>
      <w:r>
        <w:rPr>
          <w:sz w:val="24"/>
          <w:szCs w:val="28"/>
          <w:vertAlign w:val="superscript"/>
        </w:rPr>
        <w:t xml:space="preserve">2</w:t>
      </w:r>
      <w:r>
        <w:rPr>
          <w:sz w:val="24"/>
          <w:szCs w:val="28"/>
        </w:rPr>
        <w:t xml:space="preserve">.</w:t>
      </w:r>
      <w:r>
        <w:rPr>
          <w:sz w:val="24"/>
          <w:szCs w:val="28"/>
        </w:rPr>
      </w:r>
      <w:r>
        <w:rPr>
          <w:sz w:val="24"/>
          <w:szCs w:val="28"/>
        </w:rPr>
      </w:r>
    </w:p>
    <w:p>
      <w:pPr>
        <w:tabs>
          <w:tab w:val="left" w:pos="567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tabs>
          <w:tab w:val="left" w:pos="567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tabs>
          <w:tab w:val="left" w:pos="567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tabs>
          <w:tab w:val="left" w:pos="567" w:leader="none"/>
        </w:tabs>
        <w:rPr>
          <w:highlight w:val="none"/>
        </w:rPr>
      </w:pPr>
      <w:r>
        <w:rPr>
          <w:vertAlign w:val="superscript"/>
        </w:rPr>
        <w:t xml:space="preserve">1</w:t>
      </w:r>
      <w:r>
        <w:t xml:space="preserve"> при получении справки в государственной поликлинике по месту регистрации, </w:t>
      </w:r>
      <w:r>
        <w:t xml:space="preserve">в соответствии с пунктом 18 приказа Минздрава России от 14.12.2009 № 984н </w:t>
      </w:r>
      <w:r>
        <w:t xml:space="preserve">данная справка </w:t>
      </w:r>
      <w:r>
        <w:t xml:space="preserve">должна быть </w:t>
      </w:r>
      <w:r>
        <w:t xml:space="preserve">выда</w:t>
      </w:r>
      <w:r>
        <w:t xml:space="preserve">на </w:t>
      </w:r>
      <w:r>
        <w:t xml:space="preserve">на бесплатной основе </w:t>
      </w:r>
      <w:r>
        <w:br/>
      </w:r>
      <w:r>
        <w:t xml:space="preserve">(</w:t>
      </w:r>
      <w:r>
        <w:t xml:space="preserve">в случае отказа в выдаче справки в поликлинике, к которой прикреплен гражданин и направлении его </w:t>
      </w:r>
      <w:r>
        <w:br/>
        <w:t xml:space="preserve">на дополнительные медицинские обследования, следует направить заявление на имя главного врача поликлиники </w:t>
      </w:r>
      <w:r>
        <w:br/>
        <w:t xml:space="preserve">о неисполнении приказа Департамента здравоохранения г. Москвы от 24.03.2010 № 468 (для граждан, проживающих в г. Москве</w:t>
      </w:r>
      <w:r>
        <w:t xml:space="preserve">), при получении справки в коммерческих медицинских учреждениях </w:t>
      </w:r>
      <w:r>
        <w:t xml:space="preserve">необходимо взять копию лицензии на право выдачи данной справки коммерческим медицинским учреждением</w:t>
      </w:r>
      <w:r>
        <w:t xml:space="preserve">;</w:t>
      </w:r>
      <w:r>
        <w:rPr>
          <w:highlight w:val="none"/>
        </w:rPr>
      </w:r>
    </w:p>
    <w:p>
      <w:pPr>
        <w:jc w:val="both"/>
        <w:tabs>
          <w:tab w:val="left" w:pos="567" w:leader="none"/>
        </w:tabs>
        <w:rPr>
          <w:sz w:val="16"/>
          <w:szCs w:val="16"/>
        </w:rPr>
      </w:pPr>
      <w:r>
        <w:rPr>
          <w:sz w:val="16"/>
          <w:szCs w:val="16"/>
          <w:highlight w:val="none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jc w:val="both"/>
        <w:tabs>
          <w:tab w:val="left" w:pos="567" w:leader="none"/>
        </w:tabs>
        <w:rPr>
          <w:highlight w:val="none"/>
        </w:rPr>
      </w:pPr>
      <w:r>
        <w:rPr>
          <w:vertAlign w:val="superscript"/>
        </w:rPr>
        <w:t xml:space="preserve">2 </w:t>
      </w:r>
      <w:r>
        <w:t xml:space="preserve">документы, которые подаются при приеме на государственн</w:t>
      </w:r>
      <w:r>
        <w:t xml:space="preserve">ую</w:t>
      </w:r>
      <w:r>
        <w:t xml:space="preserve"> служб</w:t>
      </w:r>
      <w:r>
        <w:t xml:space="preserve">у для </w:t>
      </w:r>
      <w:r>
        <w:t xml:space="preserve">назначени</w:t>
      </w:r>
      <w:r>
        <w:t xml:space="preserve">я</w:t>
      </w:r>
      <w:r>
        <w:t xml:space="preserve"> на </w:t>
      </w:r>
      <w:r>
        <w:t xml:space="preserve">должности, предусматривающие</w:t>
      </w:r>
      <w:r>
        <w:t xml:space="preserve"> оформление допуска к государственной тайне</w:t>
      </w:r>
      <w:r>
        <w:t xml:space="preserve">;</w:t>
      </w:r>
      <w:r>
        <w:rPr>
          <w:highlight w:val="none"/>
        </w:rPr>
      </w:r>
    </w:p>
    <w:p>
      <w:pPr>
        <w:jc w:val="both"/>
        <w:tabs>
          <w:tab w:val="left" w:pos="567" w:leader="none"/>
        </w:tabs>
        <w:rPr>
          <w:sz w:val="16"/>
          <w:szCs w:val="16"/>
        </w:rPr>
      </w:pPr>
      <w:r>
        <w:rPr>
          <w:sz w:val="16"/>
          <w:szCs w:val="16"/>
          <w:highlight w:val="none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jc w:val="both"/>
        <w:tabs>
          <w:tab w:val="left" w:pos="567" w:leader="none"/>
        </w:tabs>
        <w:rPr>
          <w:highlight w:val="none"/>
        </w:rPr>
      </w:pPr>
      <w:r>
        <w:rPr>
          <w:vertAlign w:val="superscript"/>
        </w:rPr>
        <w:t xml:space="preserve">3</w:t>
      </w:r>
      <w:r>
        <w:t xml:space="preserve"> при заполнении Анкеты </w:t>
      </w:r>
      <w:r>
        <w:t xml:space="preserve">необходимо</w:t>
      </w:r>
      <w:r>
        <w:t xml:space="preserve"> обратить внимание, что не допустимы сокращения/исправления и отличие данных от документов (например, кем выдан паспорт – </w:t>
      </w:r>
      <w:r>
        <w:t xml:space="preserve">точно</w:t>
      </w:r>
      <w:r>
        <w:t xml:space="preserve"> как прописано в паспорте), </w:t>
      </w:r>
      <w:r>
        <w:t xml:space="preserve">а также </w:t>
      </w:r>
      <w:r>
        <w:t xml:space="preserve">четко</w:t>
      </w:r>
      <w:r>
        <w:t xml:space="preserve">го</w:t>
      </w:r>
      <w:r>
        <w:t xml:space="preserve"> соблюдени</w:t>
      </w:r>
      <w:r>
        <w:t xml:space="preserve">я</w:t>
      </w:r>
      <w:r>
        <w:t xml:space="preserve"> хронологиче</w:t>
      </w:r>
      <w:r>
        <w:t xml:space="preserve">ского порядка заданному вопросу</w:t>
      </w:r>
      <w:r>
        <w:t xml:space="preserve">;</w:t>
      </w:r>
      <w:r>
        <w:rPr>
          <w:highlight w:val="none"/>
        </w:rPr>
      </w:r>
    </w:p>
    <w:p>
      <w:pPr>
        <w:jc w:val="both"/>
        <w:tabs>
          <w:tab w:val="left" w:pos="567" w:leader="none"/>
        </w:tabs>
        <w:rPr>
          <w:sz w:val="16"/>
          <w:szCs w:val="16"/>
        </w:rPr>
      </w:pPr>
      <w:r>
        <w:rPr>
          <w:sz w:val="16"/>
          <w:szCs w:val="16"/>
          <w:highlight w:val="none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jc w:val="both"/>
        <w:tabs>
          <w:tab w:val="left" w:pos="567" w:leader="none"/>
        </w:tabs>
        <w:rPr>
          <w:highlight w:val="none"/>
        </w:rPr>
      </w:pPr>
      <w:r>
        <w:rPr>
          <w:vertAlign w:val="superscript"/>
        </w:rPr>
        <w:t xml:space="preserve">4</w:t>
      </w:r>
      <w:r>
        <w:t xml:space="preserve"> отчетный период при поступлении на государственную гражданскую службу будет </w:t>
      </w:r>
      <w:r>
        <w:rPr>
          <w:b/>
          <w:bCs/>
        </w:rPr>
        <w:t xml:space="preserve">за </w:t>
      </w:r>
      <w:r>
        <w:rPr>
          <w:b/>
          <w:bCs/>
        </w:rPr>
        <w:t xml:space="preserve">три календарных </w:t>
      </w:r>
      <w:r>
        <w:rPr>
          <w:b/>
          <w:bCs/>
        </w:rPr>
        <w:t xml:space="preserve">года</w:t>
      </w:r>
      <w:r>
        <w:t xml:space="preserve">,</w:t>
      </w:r>
      <w:r>
        <w:t xml:space="preserve"> предшествующ</w:t>
      </w:r>
      <w:r>
        <w:t xml:space="preserve">их</w:t>
      </w:r>
      <w:r>
        <w:t xml:space="preserve"> дате подачи документов (например, дата подачи документов – 18.0</w:t>
      </w:r>
      <w:r>
        <w:t xml:space="preserve">2</w:t>
      </w:r>
      <w:r>
        <w:t xml:space="preserve">.20</w:t>
      </w:r>
      <w:r>
        <w:t xml:space="preserve">2</w:t>
      </w:r>
      <w:r>
        <w:t xml:space="preserve">6</w:t>
      </w:r>
      <w:r>
        <w:t xml:space="preserve">, отчетный период – </w:t>
        <w:br/>
        <w:t xml:space="preserve">с </w:t>
      </w:r>
      <w:r>
        <w:t xml:space="preserve">01.01</w:t>
      </w:r>
      <w:r>
        <w:t xml:space="preserve">.20</w:t>
      </w:r>
      <w:r>
        <w:t xml:space="preserve">2</w:t>
      </w:r>
      <w:r>
        <w:t xml:space="preserve">3</w:t>
      </w:r>
      <w:r>
        <w:t xml:space="preserve"> по </w:t>
      </w:r>
      <w:r>
        <w:t xml:space="preserve">31.12</w:t>
      </w:r>
      <w:r>
        <w:t xml:space="preserve">.20</w:t>
      </w:r>
      <w:r>
        <w:t xml:space="preserve">2</w:t>
      </w:r>
      <w:r>
        <w:t xml:space="preserve">5</w:t>
      </w:r>
      <w:r>
        <w:t xml:space="preserve">)</w:t>
      </w:r>
      <w:r>
        <w:t xml:space="preserve">;</w:t>
      </w:r>
      <w:r>
        <w:rPr>
          <w:highlight w:val="none"/>
        </w:rPr>
      </w:r>
    </w:p>
    <w:p>
      <w:pPr>
        <w:jc w:val="both"/>
        <w:tabs>
          <w:tab w:val="left" w:pos="567" w:leader="none"/>
        </w:tabs>
        <w:rPr>
          <w:b w:val="0"/>
          <w:bCs w:val="0"/>
          <w:sz w:val="16"/>
          <w:szCs w:val="16"/>
        </w:rPr>
      </w:pPr>
      <w:r>
        <w:rPr>
          <w:b w:val="0"/>
          <w:bCs w:val="0"/>
          <w:sz w:val="16"/>
          <w:szCs w:val="16"/>
          <w:highlight w:val="none"/>
        </w:rPr>
      </w:r>
      <w:r>
        <w:rPr>
          <w:b w:val="0"/>
          <w:bCs w:val="0"/>
          <w:sz w:val="16"/>
          <w:szCs w:val="16"/>
        </w:rPr>
      </w:r>
      <w:r>
        <w:rPr>
          <w:b w:val="0"/>
          <w:bCs w:val="0"/>
          <w:sz w:val="16"/>
          <w:szCs w:val="16"/>
        </w:rPr>
      </w:r>
    </w:p>
    <w:p>
      <w:pPr>
        <w:jc w:val="both"/>
        <w:rPr>
          <w:rStyle w:val="838"/>
        </w:rPr>
      </w:pPr>
      <w:r>
        <w:rPr>
          <w:vertAlign w:val="superscript"/>
        </w:rPr>
        <w:t xml:space="preserve">5</w:t>
      </w:r>
      <w:r>
        <w:t xml:space="preserve"> справка заполняется в СПО «Справки БК», которую необходимо установить самостоятельно </w:t>
      </w:r>
      <w:r>
        <w:t xml:space="preserve">(например, </w:t>
      </w:r>
      <w:r>
        <w:t xml:space="preserve">по ссылке </w:t>
      </w:r>
      <w:hyperlink r:id="rId9" w:tooltip="https://www.kremlin.ru/structure/additional/12" w:history="1">
        <w:r>
          <w:rPr>
            <w:rStyle w:val="838"/>
          </w:rPr>
          <w:t xml:space="preserve">https://</w:t>
        </w:r>
        <w:r>
          <w:rPr>
            <w:rStyle w:val="838"/>
            <w:lang w:val="en-US"/>
          </w:rPr>
          <w:t xml:space="preserve">www</w:t>
        </w:r>
        <w:r>
          <w:rPr>
            <w:rStyle w:val="838"/>
          </w:rPr>
          <w:t xml:space="preserve">.</w:t>
        </w:r>
        <w:r>
          <w:rPr>
            <w:rStyle w:val="838"/>
            <w:lang w:val="en-US"/>
          </w:rPr>
          <w:t xml:space="preserve">kremlin</w:t>
        </w:r>
        <w:r>
          <w:rPr>
            <w:rStyle w:val="838"/>
          </w:rPr>
          <w:t xml:space="preserve">.</w:t>
        </w:r>
        <w:r>
          <w:rPr>
            <w:rStyle w:val="838"/>
            <w:lang w:val="en-US"/>
          </w:rPr>
          <w:t xml:space="preserve">ru</w:t>
        </w:r>
        <w:r>
          <w:rPr>
            <w:rStyle w:val="838"/>
          </w:rPr>
          <w:t xml:space="preserve">/</w:t>
        </w:r>
        <w:r>
          <w:rPr>
            <w:rStyle w:val="838"/>
            <w:lang w:val="en-US"/>
          </w:rPr>
          <w:t xml:space="preserve">structure</w:t>
        </w:r>
        <w:r>
          <w:rPr>
            <w:rStyle w:val="838"/>
          </w:rPr>
          <w:t xml:space="preserve">/</w:t>
        </w:r>
        <w:r>
          <w:rPr>
            <w:rStyle w:val="838"/>
            <w:lang w:val="en-US"/>
          </w:rPr>
          <w:t xml:space="preserve">additional</w:t>
        </w:r>
        <w:r>
          <w:rPr>
            <w:rStyle w:val="838"/>
          </w:rPr>
          <w:t xml:space="preserve">/12</w:t>
        </w:r>
      </w:hyperlink>
      <w:r>
        <w:t xml:space="preserve">)</w:t>
      </w:r>
      <w:r>
        <w:t xml:space="preserve">, методические рекомендации по заполнению справки </w:t>
      </w:r>
      <w:hyperlink r:id="rId10" w:tooltip="https://mintrud.gov.ru/ministry/anticorruption/Methods/13" w:history="1">
        <w:r>
          <w:rPr>
            <w:rStyle w:val="838"/>
          </w:rPr>
          <w:t xml:space="preserve">https://mintrud.</w:t>
        </w:r>
        <w:r>
          <w:rPr>
            <w:rStyle w:val="838"/>
            <w:lang w:val="en-US"/>
          </w:rPr>
          <w:t xml:space="preserve">gov</w:t>
        </w:r>
        <w:r>
          <w:rPr>
            <w:rStyle w:val="838"/>
          </w:rPr>
          <w:t xml:space="preserve">.ru/ministry/anticorruption/</w:t>
        </w:r>
        <w:r>
          <w:rPr>
            <w:rStyle w:val="838"/>
            <w:lang w:val="en-US"/>
          </w:rPr>
          <w:t xml:space="preserve">Methods</w:t>
        </w:r>
        <w:r>
          <w:rPr>
            <w:rStyle w:val="838"/>
          </w:rPr>
          <w:t xml:space="preserve">/13</w:t>
        </w:r>
      </w:hyperlink>
      <w:r>
        <w:rPr>
          <w:rStyle w:val="838"/>
        </w:rPr>
      </w:r>
      <w:r>
        <w:rPr>
          <w:rStyle w:val="838"/>
        </w:rPr>
      </w:r>
    </w:p>
    <w:p>
      <w:pPr>
        <w:jc w:val="both"/>
        <w:tabs>
          <w:tab w:val="left" w:pos="567" w:leader="none"/>
        </w:tabs>
        <w:rPr>
          <w:bCs/>
          <w:i/>
          <w:sz w:val="24"/>
          <w:szCs w:val="24"/>
        </w:rPr>
      </w:pPr>
      <w:r>
        <w:rPr>
          <w:i/>
          <w:sz w:val="24"/>
          <w:szCs w:val="26"/>
        </w:rPr>
      </w:r>
      <w:r>
        <w:rPr>
          <w:i/>
          <w:sz w:val="24"/>
          <w:szCs w:val="26"/>
        </w:rPr>
      </w:r>
      <w:r>
        <w:rPr>
          <w:bCs/>
          <w:i/>
          <w:sz w:val="24"/>
          <w:szCs w:val="24"/>
        </w:rPr>
      </w:r>
    </w:p>
    <w:p>
      <w:pPr>
        <w:jc w:val="both"/>
        <w:tabs>
          <w:tab w:val="left" w:pos="567" w:leader="none"/>
        </w:tabs>
        <w:rPr>
          <w:bCs/>
          <w:i/>
          <w:sz w:val="24"/>
          <w:szCs w:val="24"/>
        </w:rPr>
      </w:pPr>
      <w:r>
        <w:rPr>
          <w:i/>
          <w:sz w:val="24"/>
          <w:szCs w:val="26"/>
        </w:rPr>
      </w:r>
      <w:r>
        <w:rPr>
          <w:bCs/>
          <w:i/>
          <w:sz w:val="24"/>
          <w:szCs w:val="24"/>
        </w:rPr>
      </w:r>
      <w:r>
        <w:rPr>
          <w:bCs/>
          <w:i/>
          <w:sz w:val="24"/>
          <w:szCs w:val="24"/>
        </w:rPr>
      </w:r>
    </w:p>
    <w:p>
      <w:pPr>
        <w:jc w:val="both"/>
        <w:tabs>
          <w:tab w:val="left" w:pos="567" w:leader="none"/>
        </w:tabs>
        <w:rPr>
          <w:sz w:val="24"/>
          <w:szCs w:val="26"/>
        </w:rPr>
      </w:pPr>
      <w:r>
        <w:rPr>
          <w:i/>
          <w:sz w:val="24"/>
          <w:szCs w:val="26"/>
        </w:rPr>
        <w:t xml:space="preserve">Для консультаций по вопросам, связанным по формированию пакета документов, необходимо обращаться </w:t>
      </w:r>
      <w:r>
        <w:rPr>
          <w:i/>
          <w:sz w:val="24"/>
          <w:szCs w:val="26"/>
        </w:rPr>
        <w:t xml:space="preserve">к с</w:t>
      </w:r>
      <w:r>
        <w:rPr>
          <w:i/>
          <w:sz w:val="24"/>
          <w:szCs w:val="26"/>
        </w:rPr>
        <w:t xml:space="preserve">отрудник</w:t>
      </w:r>
      <w:r>
        <w:rPr>
          <w:i/>
          <w:sz w:val="24"/>
          <w:szCs w:val="26"/>
        </w:rPr>
        <w:t xml:space="preserve">ам</w:t>
      </w:r>
      <w:r>
        <w:rPr>
          <w:i/>
          <w:sz w:val="24"/>
          <w:szCs w:val="26"/>
        </w:rPr>
        <w:t xml:space="preserve"> Отдела государственной гражданской службы и кадров</w:t>
      </w:r>
      <w:r>
        <w:rPr>
          <w:i/>
          <w:sz w:val="24"/>
          <w:szCs w:val="26"/>
        </w:rPr>
        <w:t xml:space="preserve"> Межрегионального операционного УФК по следующим телефонам:</w:t>
      </w:r>
      <w:r>
        <w:rPr>
          <w:i/>
          <w:sz w:val="24"/>
          <w:szCs w:val="26"/>
        </w:rPr>
        <w:t xml:space="preserve"> </w:t>
      </w:r>
      <w:r>
        <w:rPr>
          <w:i/>
          <w:sz w:val="24"/>
          <w:szCs w:val="26"/>
        </w:rPr>
        <w:t xml:space="preserve">(495)214-</w:t>
      </w:r>
      <w:r>
        <w:rPr>
          <w:i/>
          <w:sz w:val="24"/>
          <w:szCs w:val="26"/>
        </w:rPr>
        <w:t xml:space="preserve">8</w:t>
      </w:r>
      <w:r>
        <w:rPr>
          <w:i/>
          <w:sz w:val="24"/>
          <w:szCs w:val="26"/>
        </w:rPr>
        <w:t xml:space="preserve">7</w:t>
      </w:r>
      <w:r>
        <w:rPr>
          <w:i/>
          <w:sz w:val="24"/>
          <w:szCs w:val="26"/>
        </w:rPr>
        <w:t xml:space="preserve">-</w:t>
      </w:r>
      <w:r>
        <w:rPr>
          <w:i/>
          <w:sz w:val="24"/>
          <w:szCs w:val="26"/>
        </w:rPr>
        <w:t xml:space="preserve">88</w:t>
      </w:r>
      <w:r>
        <w:rPr>
          <w:i/>
          <w:sz w:val="24"/>
          <w:szCs w:val="26"/>
        </w:rPr>
        <w:t xml:space="preserve">, (495)214-87-86</w:t>
      </w:r>
      <w:r>
        <w:rPr>
          <w:i/>
          <w:sz w:val="24"/>
          <w:szCs w:val="26"/>
        </w:rPr>
        <w:t xml:space="preserve">,</w:t>
      </w:r>
      <w:r>
        <w:rPr>
          <w:i/>
          <w:sz w:val="24"/>
          <w:szCs w:val="26"/>
        </w:rPr>
        <w:t xml:space="preserve"> </w:t>
      </w:r>
      <w:r>
        <w:rPr>
          <w:i/>
          <w:sz w:val="24"/>
          <w:szCs w:val="26"/>
        </w:rPr>
        <w:t xml:space="preserve">(495)214-87-90</w:t>
      </w:r>
      <w:r>
        <w:rPr>
          <w:i/>
          <w:sz w:val="24"/>
          <w:szCs w:val="26"/>
        </w:rPr>
        <w:t xml:space="preserve">; </w:t>
      </w:r>
      <w:r>
        <w:rPr>
          <w:i/>
          <w:sz w:val="24"/>
          <w:szCs w:val="26"/>
        </w:rPr>
        <w:t xml:space="preserve">э</w:t>
      </w:r>
      <w:r>
        <w:rPr>
          <w:i/>
          <w:sz w:val="24"/>
          <w:szCs w:val="26"/>
        </w:rPr>
        <w:t xml:space="preserve">лектронная почта: </w:t>
      </w:r>
      <w:hyperlink r:id="rId11" w:tooltip="mailto:otdelkadrov_mou@mail.ru" w:history="1">
        <w:r>
          <w:rPr>
            <w:rStyle w:val="838"/>
            <w:i/>
            <w:sz w:val="24"/>
            <w:szCs w:val="26"/>
            <w:u w:val="none"/>
            <w:lang w:val="en-US"/>
          </w:rPr>
          <w:t xml:space="preserve">otdelkadrov</w:t>
        </w:r>
        <w:r>
          <w:rPr>
            <w:rStyle w:val="838"/>
            <w:i/>
            <w:sz w:val="24"/>
            <w:szCs w:val="26"/>
            <w:u w:val="none"/>
          </w:rPr>
          <w:t xml:space="preserve">_</w:t>
        </w:r>
        <w:r>
          <w:rPr>
            <w:rStyle w:val="838"/>
            <w:i/>
            <w:sz w:val="24"/>
            <w:szCs w:val="26"/>
            <w:u w:val="none"/>
            <w:lang w:val="en-US"/>
          </w:rPr>
          <w:t xml:space="preserve">mou</w:t>
        </w:r>
        <w:r>
          <w:rPr>
            <w:rStyle w:val="838"/>
            <w:i/>
            <w:sz w:val="24"/>
            <w:szCs w:val="26"/>
            <w:u w:val="none"/>
          </w:rPr>
          <w:t xml:space="preserve">@</w:t>
        </w:r>
        <w:r>
          <w:rPr>
            <w:rStyle w:val="838"/>
            <w:i/>
            <w:sz w:val="24"/>
            <w:szCs w:val="26"/>
            <w:u w:val="none"/>
            <w:lang w:val="en-US"/>
          </w:rPr>
          <w:t xml:space="preserve">mail</w:t>
        </w:r>
        <w:r>
          <w:rPr>
            <w:rStyle w:val="838"/>
            <w:i/>
            <w:sz w:val="24"/>
            <w:szCs w:val="26"/>
            <w:u w:val="none"/>
          </w:rPr>
          <w:t xml:space="preserve">.</w:t>
        </w:r>
        <w:r>
          <w:rPr>
            <w:rStyle w:val="838"/>
            <w:i/>
            <w:sz w:val="24"/>
            <w:szCs w:val="26"/>
            <w:u w:val="none"/>
            <w:lang w:val="en-US"/>
          </w:rPr>
          <w:t xml:space="preserve">ru</w:t>
        </w:r>
      </w:hyperlink>
      <w:r>
        <w:rPr>
          <w:sz w:val="24"/>
          <w:szCs w:val="26"/>
        </w:rPr>
      </w:r>
      <w:r>
        <w:rPr>
          <w:sz w:val="24"/>
          <w:szCs w:val="26"/>
        </w:rPr>
      </w:r>
    </w:p>
    <w:sectPr>
      <w:footnotePr/>
      <w:endnotePr/>
      <w:type w:val="nextPage"/>
      <w:pgSz w:w="11906" w:h="16838" w:orient="portrait"/>
      <w:pgMar w:top="709" w:right="566" w:bottom="709" w:left="1276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7">
    <w:name w:val="Heading 1"/>
    <w:basedOn w:val="832"/>
    <w:next w:val="832"/>
    <w:link w:val="65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8">
    <w:name w:val="Heading 1 Char"/>
    <w:basedOn w:val="834"/>
    <w:link w:val="657"/>
    <w:uiPriority w:val="9"/>
    <w:rPr>
      <w:rFonts w:ascii="Arial" w:hAnsi="Arial" w:eastAsia="Arial" w:cs="Arial"/>
      <w:sz w:val="40"/>
      <w:szCs w:val="40"/>
    </w:rPr>
  </w:style>
  <w:style w:type="paragraph" w:styleId="659">
    <w:name w:val="Heading 2"/>
    <w:basedOn w:val="832"/>
    <w:next w:val="832"/>
    <w:link w:val="66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0">
    <w:name w:val="Heading 2 Char"/>
    <w:basedOn w:val="834"/>
    <w:link w:val="659"/>
    <w:uiPriority w:val="9"/>
    <w:rPr>
      <w:rFonts w:ascii="Arial" w:hAnsi="Arial" w:eastAsia="Arial" w:cs="Arial"/>
      <w:sz w:val="34"/>
    </w:rPr>
  </w:style>
  <w:style w:type="paragraph" w:styleId="661">
    <w:name w:val="Heading 3"/>
    <w:basedOn w:val="832"/>
    <w:next w:val="832"/>
    <w:link w:val="66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2">
    <w:name w:val="Heading 3 Char"/>
    <w:basedOn w:val="834"/>
    <w:link w:val="661"/>
    <w:uiPriority w:val="9"/>
    <w:rPr>
      <w:rFonts w:ascii="Arial" w:hAnsi="Arial" w:eastAsia="Arial" w:cs="Arial"/>
      <w:sz w:val="30"/>
      <w:szCs w:val="30"/>
    </w:rPr>
  </w:style>
  <w:style w:type="paragraph" w:styleId="663">
    <w:name w:val="Heading 4"/>
    <w:basedOn w:val="832"/>
    <w:next w:val="832"/>
    <w:link w:val="66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4">
    <w:name w:val="Heading 4 Char"/>
    <w:basedOn w:val="834"/>
    <w:link w:val="663"/>
    <w:uiPriority w:val="9"/>
    <w:rPr>
      <w:rFonts w:ascii="Arial" w:hAnsi="Arial" w:eastAsia="Arial" w:cs="Arial"/>
      <w:b/>
      <w:bCs/>
      <w:sz w:val="26"/>
      <w:szCs w:val="26"/>
    </w:rPr>
  </w:style>
  <w:style w:type="paragraph" w:styleId="665">
    <w:name w:val="Heading 5"/>
    <w:basedOn w:val="832"/>
    <w:next w:val="832"/>
    <w:link w:val="66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6">
    <w:name w:val="Heading 5 Char"/>
    <w:basedOn w:val="834"/>
    <w:link w:val="665"/>
    <w:uiPriority w:val="9"/>
    <w:rPr>
      <w:rFonts w:ascii="Arial" w:hAnsi="Arial" w:eastAsia="Arial" w:cs="Arial"/>
      <w:b/>
      <w:bCs/>
      <w:sz w:val="24"/>
      <w:szCs w:val="24"/>
    </w:rPr>
  </w:style>
  <w:style w:type="character" w:styleId="667">
    <w:name w:val="Heading 6 Char"/>
    <w:basedOn w:val="834"/>
    <w:link w:val="833"/>
    <w:uiPriority w:val="9"/>
    <w:rPr>
      <w:rFonts w:ascii="Arial" w:hAnsi="Arial" w:eastAsia="Arial" w:cs="Arial"/>
      <w:b/>
      <w:bCs/>
      <w:sz w:val="22"/>
      <w:szCs w:val="22"/>
    </w:rPr>
  </w:style>
  <w:style w:type="paragraph" w:styleId="668">
    <w:name w:val="Heading 7"/>
    <w:basedOn w:val="832"/>
    <w:next w:val="832"/>
    <w:link w:val="66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9">
    <w:name w:val="Heading 7 Char"/>
    <w:basedOn w:val="834"/>
    <w:link w:val="6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0">
    <w:name w:val="Heading 8"/>
    <w:basedOn w:val="832"/>
    <w:next w:val="832"/>
    <w:link w:val="67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1">
    <w:name w:val="Heading 8 Char"/>
    <w:basedOn w:val="834"/>
    <w:link w:val="670"/>
    <w:uiPriority w:val="9"/>
    <w:rPr>
      <w:rFonts w:ascii="Arial" w:hAnsi="Arial" w:eastAsia="Arial" w:cs="Arial"/>
      <w:i/>
      <w:iCs/>
      <w:sz w:val="22"/>
      <w:szCs w:val="22"/>
    </w:rPr>
  </w:style>
  <w:style w:type="paragraph" w:styleId="672">
    <w:name w:val="Heading 9"/>
    <w:basedOn w:val="832"/>
    <w:next w:val="832"/>
    <w:link w:val="67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3">
    <w:name w:val="Heading 9 Char"/>
    <w:basedOn w:val="834"/>
    <w:link w:val="672"/>
    <w:uiPriority w:val="9"/>
    <w:rPr>
      <w:rFonts w:ascii="Arial" w:hAnsi="Arial" w:eastAsia="Arial" w:cs="Arial"/>
      <w:i/>
      <w:iCs/>
      <w:sz w:val="21"/>
      <w:szCs w:val="21"/>
    </w:rPr>
  </w:style>
  <w:style w:type="paragraph" w:styleId="674">
    <w:name w:val="List Paragraph"/>
    <w:basedOn w:val="832"/>
    <w:uiPriority w:val="34"/>
    <w:qFormat/>
    <w:pPr>
      <w:contextualSpacing/>
      <w:ind w:left="720"/>
    </w:pPr>
  </w:style>
  <w:style w:type="paragraph" w:styleId="675">
    <w:name w:val="Title"/>
    <w:basedOn w:val="832"/>
    <w:next w:val="832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basedOn w:val="834"/>
    <w:link w:val="675"/>
    <w:uiPriority w:val="10"/>
    <w:rPr>
      <w:sz w:val="48"/>
      <w:szCs w:val="48"/>
    </w:rPr>
  </w:style>
  <w:style w:type="paragraph" w:styleId="677">
    <w:name w:val="Subtitle"/>
    <w:basedOn w:val="832"/>
    <w:next w:val="832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basedOn w:val="834"/>
    <w:link w:val="677"/>
    <w:uiPriority w:val="11"/>
    <w:rPr>
      <w:sz w:val="24"/>
      <w:szCs w:val="24"/>
    </w:rPr>
  </w:style>
  <w:style w:type="paragraph" w:styleId="679">
    <w:name w:val="Quote"/>
    <w:basedOn w:val="832"/>
    <w:next w:val="832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32"/>
    <w:next w:val="832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paragraph" w:styleId="683">
    <w:name w:val="Header"/>
    <w:basedOn w:val="832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Header Char"/>
    <w:basedOn w:val="834"/>
    <w:link w:val="683"/>
    <w:uiPriority w:val="99"/>
  </w:style>
  <w:style w:type="paragraph" w:styleId="685">
    <w:name w:val="Footer"/>
    <w:basedOn w:val="832"/>
    <w:link w:val="68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Footer Char"/>
    <w:basedOn w:val="834"/>
    <w:link w:val="685"/>
    <w:uiPriority w:val="99"/>
  </w:style>
  <w:style w:type="paragraph" w:styleId="687">
    <w:name w:val="Caption"/>
    <w:basedOn w:val="832"/>
    <w:next w:val="83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8">
    <w:name w:val="Caption Char"/>
    <w:basedOn w:val="687"/>
    <w:link w:val="685"/>
    <w:uiPriority w:val="99"/>
  </w:style>
  <w:style w:type="table" w:styleId="689">
    <w:name w:val="Table Grid"/>
    <w:basedOn w:val="83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Table Grid Light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1">
    <w:name w:val="Plain Table 1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2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3">
    <w:name w:val="Plain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4">
    <w:name w:val="Plain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Plain Table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6">
    <w:name w:val="Grid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8">
    <w:name w:val="Grid Table 4 - Accent 1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9">
    <w:name w:val="Grid Table 4 - Accent 2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0">
    <w:name w:val="Grid Table 4 - Accent 3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1">
    <w:name w:val="Grid Table 4 - Accent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2">
    <w:name w:val="Grid Table 4 - Accent 5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3">
    <w:name w:val="Grid Table 4 - Accent 6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4">
    <w:name w:val="Grid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1">
    <w:name w:val="Grid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2">
    <w:name w:val="Grid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3">
    <w:name w:val="Grid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4">
    <w:name w:val="Grid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5">
    <w:name w:val="Grid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6">
    <w:name w:val="Grid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8">
    <w:name w:val="Grid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3">
    <w:name w:val="List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4">
    <w:name w:val="List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5">
    <w:name w:val="List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6">
    <w:name w:val="List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7">
    <w:name w:val="List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8">
    <w:name w:val="List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9">
    <w:name w:val="List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1">
    <w:name w:val="List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2">
    <w:name w:val="List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3">
    <w:name w:val="List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4">
    <w:name w:val="List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5">
    <w:name w:val="List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6">
    <w:name w:val="List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7">
    <w:name w:val="List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8">
    <w:name w:val="List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9">
    <w:name w:val="List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90">
    <w:name w:val="List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1">
    <w:name w:val="List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2">
    <w:name w:val="List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3">
    <w:name w:val="List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4">
    <w:name w:val="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5">
    <w:name w:val="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6">
    <w:name w:val="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7">
    <w:name w:val="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8">
    <w:name w:val="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9">
    <w:name w:val="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0">
    <w:name w:val="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1">
    <w:name w:val="Bordered &amp; 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2">
    <w:name w:val="Bordered &amp; 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3">
    <w:name w:val="Bordered &amp; 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4">
    <w:name w:val="Bordered &amp; 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5">
    <w:name w:val="Bordered &amp; 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6">
    <w:name w:val="Bordered &amp; 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7">
    <w:name w:val="Bordered &amp; 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8">
    <w:name w:val="Bordered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9">
    <w:name w:val="Bordered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0">
    <w:name w:val="Bordered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1">
    <w:name w:val="Bordered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2">
    <w:name w:val="Bordered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3">
    <w:name w:val="Bordered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4">
    <w:name w:val="Bordered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basedOn w:val="834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basedOn w:val="834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833">
    <w:name w:val="Heading 6"/>
    <w:basedOn w:val="832"/>
    <w:next w:val="832"/>
    <w:link w:val="837"/>
    <w:qFormat/>
    <w:pPr>
      <w:ind w:firstLine="709"/>
      <w:keepNext/>
      <w:outlineLvl w:val="5"/>
    </w:pPr>
    <w:rPr>
      <w:b/>
      <w:sz w:val="32"/>
    </w:rPr>
  </w:style>
  <w:style w:type="character" w:styleId="834" w:default="1">
    <w:name w:val="Default Paragraph Font"/>
    <w:uiPriority w:val="1"/>
    <w:semiHidden/>
    <w:unhideWhenUsed/>
  </w:style>
  <w:style w:type="table" w:styleId="83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6" w:default="1">
    <w:name w:val="No List"/>
    <w:uiPriority w:val="99"/>
    <w:semiHidden/>
    <w:unhideWhenUsed/>
  </w:style>
  <w:style w:type="character" w:styleId="837" w:customStyle="1">
    <w:name w:val="Заголовок 6 Знак"/>
    <w:basedOn w:val="834"/>
    <w:link w:val="833"/>
    <w:rPr>
      <w:rFonts w:ascii="Times New Roman" w:hAnsi="Times New Roman" w:eastAsia="Times New Roman" w:cs="Times New Roman"/>
      <w:b/>
      <w:sz w:val="32"/>
      <w:szCs w:val="20"/>
      <w:lang w:eastAsia="ru-RU"/>
    </w:rPr>
  </w:style>
  <w:style w:type="character" w:styleId="838">
    <w:name w:val="Hyperlink"/>
    <w:rPr>
      <w:color w:val="0000ff"/>
      <w:u w:val="single"/>
    </w:rPr>
  </w:style>
  <w:style w:type="paragraph" w:styleId="839">
    <w:name w:val="Balloon Text"/>
    <w:basedOn w:val="832"/>
    <w:link w:val="840"/>
    <w:uiPriority w:val="99"/>
    <w:semiHidden/>
    <w:unhideWhenUsed/>
    <w:rPr>
      <w:rFonts w:ascii="Tahoma" w:hAnsi="Tahoma" w:cs="Tahoma"/>
      <w:sz w:val="16"/>
      <w:szCs w:val="16"/>
    </w:rPr>
  </w:style>
  <w:style w:type="character" w:styleId="840" w:customStyle="1">
    <w:name w:val="Текст выноски Знак"/>
    <w:basedOn w:val="834"/>
    <w:link w:val="839"/>
    <w:uiPriority w:val="99"/>
    <w:semiHidden/>
    <w:rPr>
      <w:rFonts w:ascii="Tahoma" w:hAnsi="Tahoma" w:eastAsia="Times New Roman" w:cs="Tahoma"/>
      <w:sz w:val="16"/>
      <w:szCs w:val="16"/>
      <w:lang w:eastAsia="ru-RU"/>
    </w:rPr>
  </w:style>
  <w:style w:type="paragraph" w:styleId="841">
    <w:name w:val="No Spacing"/>
    <w:uiPriority w:val="1"/>
    <w:qFormat/>
    <w:pPr>
      <w:spacing w:after="0" w:line="240" w:lineRule="auto"/>
    </w:pPr>
    <w:rPr>
      <w:rFonts w:ascii="Times New Roman" w:hAnsi="Times New Roman" w:cs="Times New Roman" w:eastAsiaTheme="minorEastAsia"/>
      <w:sz w:val="28"/>
      <w:szCs w:val="28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s://www.kremlin.ru/structure/additional/12" TargetMode="External"/><Relationship Id="rId10" Type="http://schemas.openxmlformats.org/officeDocument/2006/relationships/hyperlink" Target="https://mintrud.gov.ru/ministry/anticorruption/Methods/13" TargetMode="External"/><Relationship Id="rId11" Type="http://schemas.openxmlformats.org/officeDocument/2006/relationships/hyperlink" Target="mailto:otdelkadrov_mou@mail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Глузман Рина Иосифовна</dc:creator>
  <cp:lastModifiedBy>Аноним</cp:lastModifiedBy>
  <cp:revision>5</cp:revision>
  <dcterms:created xsi:type="dcterms:W3CDTF">2026-01-12T12:52:00Z</dcterms:created>
  <dcterms:modified xsi:type="dcterms:W3CDTF">2026-01-12T14:28:33Z</dcterms:modified>
</cp:coreProperties>
</file>